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7D" w:rsidRPr="0095677D" w:rsidRDefault="0095677D" w:rsidP="0095677D">
      <w:pPr>
        <w:jc w:val="center"/>
        <w:textAlignment w:val="baseline"/>
        <w:rPr>
          <w:rFonts w:ascii="Candara" w:eastAsia="Times New Roman" w:hAnsi="Candara" w:cs="Arial"/>
          <w:b/>
          <w:color w:val="121212"/>
          <w:sz w:val="36"/>
          <w:lang w:val="es-MX" w:eastAsia="es-MX"/>
        </w:rPr>
      </w:pPr>
      <w:r w:rsidRPr="0095677D">
        <w:rPr>
          <w:rFonts w:ascii="Candara" w:eastAsia="Times New Roman" w:hAnsi="Candara" w:cs="Arial"/>
          <w:b/>
          <w:color w:val="121212"/>
          <w:sz w:val="36"/>
          <w:lang w:val="es-MX" w:eastAsia="es-MX"/>
        </w:rPr>
        <w:t xml:space="preserve">XIII CONGRESO DE LA FEDERACIÓN IBEROAMERICANA </w:t>
      </w:r>
    </w:p>
    <w:p w:rsidR="0095677D" w:rsidRPr="0095677D" w:rsidRDefault="0095677D" w:rsidP="0095677D">
      <w:pPr>
        <w:spacing w:after="160"/>
        <w:jc w:val="center"/>
        <w:rPr>
          <w:rFonts w:ascii="Candara" w:hAnsi="Candara" w:cs="Arial"/>
          <w:b/>
          <w:color w:val="121212"/>
          <w:sz w:val="36"/>
          <w:lang w:val="es-MX"/>
        </w:rPr>
      </w:pPr>
      <w:r w:rsidRPr="0095677D">
        <w:rPr>
          <w:rFonts w:ascii="Candara" w:hAnsi="Candara" w:cs="Arial"/>
          <w:b/>
          <w:color w:val="121212"/>
          <w:sz w:val="36"/>
          <w:lang w:val="es-MX"/>
        </w:rPr>
        <w:t>DE RAZAS CRIOLLAS Y AUTÓCTONAS</w:t>
      </w:r>
    </w:p>
    <w:p w:rsidR="0095677D" w:rsidRPr="0095677D" w:rsidRDefault="0095677D" w:rsidP="0095677D">
      <w:pPr>
        <w:jc w:val="center"/>
        <w:rPr>
          <w:rFonts w:ascii="Candara" w:hAnsi="Candara" w:cs="Arial"/>
          <w:b/>
          <w:color w:val="121212"/>
          <w:sz w:val="36"/>
          <w:lang w:val="es-MX"/>
        </w:rPr>
      </w:pPr>
      <w:r w:rsidRPr="0095677D">
        <w:rPr>
          <w:rFonts w:ascii="Candara" w:hAnsi="Candara" w:cs="Arial"/>
          <w:b/>
          <w:color w:val="121212"/>
          <w:sz w:val="36"/>
          <w:lang w:val="es-MX"/>
        </w:rPr>
        <w:t>Jipijapa - Manabí - Ecuador, 20 al 22 de septiembre de 2023</w:t>
      </w:r>
    </w:p>
    <w:p w:rsidR="0095677D" w:rsidRPr="0095677D" w:rsidRDefault="0095677D" w:rsidP="0095677D">
      <w:pPr>
        <w:spacing w:before="240"/>
        <w:rPr>
          <w:rFonts w:ascii="Candara" w:eastAsia="Times New Roman" w:hAnsi="Candara" w:cstheme="minorHAnsi"/>
          <w:b/>
          <w:color w:val="800000"/>
          <w:sz w:val="32"/>
          <w:lang w:val="es-MX" w:eastAsia="es-ES"/>
        </w:rPr>
      </w:pPr>
    </w:p>
    <w:p w:rsidR="0095677D" w:rsidRPr="0095677D" w:rsidRDefault="0095677D" w:rsidP="0095677D">
      <w:pPr>
        <w:spacing w:before="240"/>
        <w:jc w:val="center"/>
        <w:rPr>
          <w:rFonts w:ascii="Candara" w:eastAsia="Times New Roman" w:hAnsi="Candara" w:cstheme="minorHAnsi"/>
          <w:b/>
          <w:color w:val="800000"/>
          <w:sz w:val="72"/>
          <w:lang w:eastAsia="es-ES"/>
        </w:rPr>
      </w:pPr>
      <w:r w:rsidRPr="0095677D">
        <w:rPr>
          <w:rFonts w:ascii="Candara" w:eastAsia="Times New Roman" w:hAnsi="Candara" w:cstheme="minorHAnsi"/>
          <w:b/>
          <w:color w:val="800000"/>
          <w:sz w:val="72"/>
          <w:lang w:eastAsia="es-ES"/>
        </w:rPr>
        <w:t>Ejes temáticos</w:t>
      </w:r>
    </w:p>
    <w:p w:rsidR="0095677D" w:rsidRPr="0095677D" w:rsidRDefault="0095677D" w:rsidP="0095677D">
      <w:pPr>
        <w:spacing w:before="240"/>
        <w:jc w:val="center"/>
        <w:rPr>
          <w:rFonts w:ascii="Candara" w:eastAsia="Times New Roman" w:hAnsi="Candara" w:cstheme="minorHAnsi"/>
          <w:b/>
          <w:color w:val="800000"/>
          <w:sz w:val="44"/>
          <w:lang w:eastAsia="es-ES"/>
        </w:rPr>
      </w:pPr>
      <w:bookmarkStart w:id="0" w:name="_GoBack"/>
      <w:bookmarkEnd w:id="0"/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>Genética y biotecnología</w:t>
      </w:r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>Nutrición y fisiología animal</w:t>
      </w:r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>Manejo, y cadenas productivas</w:t>
      </w:r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 xml:space="preserve">Salud y protección animal </w:t>
      </w:r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>Medio ambiente e innovación ganadera</w:t>
      </w:r>
    </w:p>
    <w:p w:rsidR="0095677D" w:rsidRPr="0095677D" w:rsidRDefault="0095677D" w:rsidP="0095677D">
      <w:pPr>
        <w:pStyle w:val="Prrafodelista"/>
        <w:numPr>
          <w:ilvl w:val="0"/>
          <w:numId w:val="1"/>
        </w:numPr>
        <w:spacing w:before="240"/>
        <w:rPr>
          <w:rFonts w:ascii="Candara" w:eastAsia="Times New Roman" w:hAnsi="Candara" w:cstheme="minorHAnsi"/>
          <w:bCs/>
          <w:sz w:val="36"/>
          <w:szCs w:val="18"/>
          <w:lang w:eastAsia="es-ES"/>
        </w:rPr>
      </w:pPr>
      <w:r w:rsidRPr="0095677D">
        <w:rPr>
          <w:rFonts w:ascii="Candara" w:eastAsia="Times New Roman" w:hAnsi="Candara" w:cstheme="minorHAnsi"/>
          <w:bCs/>
          <w:sz w:val="36"/>
          <w:szCs w:val="18"/>
          <w:lang w:eastAsia="es-ES"/>
        </w:rPr>
        <w:t xml:space="preserve">Economía y políticas de desarrollo productivo </w:t>
      </w:r>
    </w:p>
    <w:p w:rsidR="0095677D" w:rsidRDefault="0095677D" w:rsidP="0095677D">
      <w:pPr>
        <w:spacing w:before="240"/>
        <w:rPr>
          <w:rFonts w:ascii="Candara" w:eastAsia="Times New Roman" w:hAnsi="Candara" w:cstheme="minorHAnsi"/>
          <w:bCs/>
          <w:sz w:val="24"/>
          <w:szCs w:val="18"/>
          <w:lang w:eastAsia="es-ES"/>
        </w:rPr>
      </w:pPr>
    </w:p>
    <w:p w:rsidR="0095677D" w:rsidRDefault="0095677D" w:rsidP="0095677D">
      <w:pPr>
        <w:spacing w:before="240"/>
        <w:rPr>
          <w:rFonts w:ascii="Candara" w:eastAsia="Times New Roman" w:hAnsi="Candara" w:cstheme="minorHAnsi"/>
          <w:bCs/>
          <w:sz w:val="24"/>
          <w:szCs w:val="18"/>
          <w:lang w:eastAsia="es-ES"/>
        </w:rPr>
      </w:pPr>
      <w:r>
        <w:rPr>
          <w:rFonts w:ascii="Candara" w:eastAsia="Times New Roman" w:hAnsi="Candara" w:cstheme="minorHAnsi"/>
          <w:bCs/>
          <w:sz w:val="24"/>
          <w:szCs w:val="18"/>
          <w:lang w:eastAsia="es-ES"/>
        </w:rPr>
        <w:t xml:space="preserve">Se designará de entre los miembros del consejo científico a los presidentes y secretarios de cada eje temático, así como los miembros de cada uno de los ejes según su especialidad. </w:t>
      </w:r>
    </w:p>
    <w:p w:rsidR="0095677D" w:rsidRDefault="0095677D"/>
    <w:sectPr w:rsidR="0095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2D7"/>
    <w:multiLevelType w:val="hybridMultilevel"/>
    <w:tmpl w:val="3CD292FC"/>
    <w:lvl w:ilvl="0" w:tplc="3F10A3BE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D"/>
    <w:rsid w:val="009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B194"/>
  <w15:chartTrackingRefBased/>
  <w15:docId w15:val="{96B9C2F1-D38B-433F-8B8D-B1D475B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77D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Aguilera</dc:creator>
  <cp:keywords/>
  <dc:description/>
  <cp:lastModifiedBy>Javier Aguilera</cp:lastModifiedBy>
  <cp:revision>1</cp:revision>
  <dcterms:created xsi:type="dcterms:W3CDTF">2023-04-19T11:42:00Z</dcterms:created>
  <dcterms:modified xsi:type="dcterms:W3CDTF">2023-04-19T11:44:00Z</dcterms:modified>
</cp:coreProperties>
</file>